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adjustRightInd w:val="0"/>
        <w:snapToGrid w:val="0"/>
        <w:ind w:left="0" w:leftChars="0" w:firstLine="0" w:firstLineChars="0"/>
        <w:jc w:val="center"/>
        <w:rPr>
          <w:rFonts w:hint="eastAsia" w:ascii="Times New Roman" w:hAnsi="Times New Roman"/>
          <w:b/>
          <w:bCs/>
          <w:color w:val="auto"/>
          <w:sz w:val="24"/>
          <w:u w:val="none"/>
        </w:rPr>
      </w:pPr>
      <w:bookmarkStart w:id="0" w:name="_GoBack"/>
      <w:bookmarkEnd w:id="0"/>
      <w:r>
        <w:rPr>
          <w:rFonts w:hint="eastAsia" w:ascii="Times New Roman" w:hAnsi="Times New Roman"/>
          <w:b/>
          <w:bCs/>
          <w:color w:val="auto"/>
          <w:sz w:val="24"/>
          <w:u w:val="none"/>
        </w:rPr>
        <w:t>附件</w:t>
      </w:r>
      <w:r>
        <w:rPr>
          <w:rFonts w:hint="eastAsia"/>
          <w:b/>
          <w:bCs/>
          <w:color w:val="auto"/>
          <w:sz w:val="24"/>
          <w:u w:val="none"/>
          <w:lang w:val="en-US" w:eastAsia="zh-CN"/>
        </w:rPr>
        <w:t>6</w:t>
      </w:r>
      <w:r>
        <w:rPr>
          <w:rFonts w:hint="eastAsia" w:ascii="Times New Roman" w:hAnsi="Times New Roman"/>
          <w:b/>
          <w:bCs/>
          <w:color w:val="auto"/>
          <w:sz w:val="24"/>
          <w:u w:val="none"/>
        </w:rPr>
        <w:t xml:space="preserve"> 建设项目地表水环境影响评价自查表</w:t>
      </w:r>
    </w:p>
    <w:tbl>
      <w:tblPr>
        <w:tblStyle w:val="6"/>
        <w:tblW w:w="0" w:type="dxa"/>
        <w:jc w:val="center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2"/>
        <w:gridCol w:w="1252"/>
        <w:gridCol w:w="1160"/>
        <w:gridCol w:w="199"/>
        <w:gridCol w:w="676"/>
        <w:gridCol w:w="683"/>
        <w:gridCol w:w="1026"/>
        <w:gridCol w:w="787"/>
        <w:gridCol w:w="583"/>
        <w:gridCol w:w="321"/>
        <w:gridCol w:w="1362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2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工作内容</w:t>
            </w:r>
          </w:p>
        </w:tc>
        <w:tc>
          <w:tcPr>
            <w:tcW w:w="6797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自查项目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72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影响识别</w:t>
            </w:r>
          </w:p>
        </w:tc>
        <w:tc>
          <w:tcPr>
            <w:tcW w:w="125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影响类型</w:t>
            </w:r>
          </w:p>
        </w:tc>
        <w:tc>
          <w:tcPr>
            <w:tcW w:w="6797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水污染影响型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FE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；水文要素影响型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7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</w:rPr>
            </w:pPr>
          </w:p>
        </w:tc>
        <w:tc>
          <w:tcPr>
            <w:tcW w:w="125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水环境保护目标</w:t>
            </w:r>
          </w:p>
        </w:tc>
        <w:tc>
          <w:tcPr>
            <w:tcW w:w="6797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饮用水源保护区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；饮用水取水口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；涉水的自然保护区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；重要湿地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；重点保护与珍稀水生生物的栖息地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；重要水生生物的自然产卵场及索饵场、越冬场和洄游通道、天然渔场等渔业水体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；涉水的风景名胜区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；其他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FE"/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7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</w:rPr>
            </w:pPr>
          </w:p>
        </w:tc>
        <w:tc>
          <w:tcPr>
            <w:tcW w:w="125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影响途径</w:t>
            </w:r>
          </w:p>
        </w:tc>
        <w:tc>
          <w:tcPr>
            <w:tcW w:w="3744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水污染影响型</w:t>
            </w:r>
          </w:p>
        </w:tc>
        <w:tc>
          <w:tcPr>
            <w:tcW w:w="3053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水文要素影响型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7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</w:rPr>
            </w:pPr>
          </w:p>
        </w:tc>
        <w:tc>
          <w:tcPr>
            <w:tcW w:w="125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影响因子</w:t>
            </w:r>
          </w:p>
        </w:tc>
        <w:tc>
          <w:tcPr>
            <w:tcW w:w="3744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直接排放；间接排放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FE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；其他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</w:p>
        </w:tc>
        <w:tc>
          <w:tcPr>
            <w:tcW w:w="3053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水温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；径流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；水域面积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2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影响因子</w:t>
            </w:r>
          </w:p>
        </w:tc>
        <w:tc>
          <w:tcPr>
            <w:tcW w:w="3744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持久性污染物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；有毒有害污染物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；非持久性污染物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FE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val="en-US" w:eastAsia="zh-CN"/>
              </w:rPr>
              <w:t>pH值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FE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；热污染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；富营养化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；其他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</w:p>
        </w:tc>
        <w:tc>
          <w:tcPr>
            <w:tcW w:w="3053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水温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；水位（水深）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；流速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；流量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；其他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24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评价等级</w:t>
            </w:r>
          </w:p>
        </w:tc>
        <w:tc>
          <w:tcPr>
            <w:tcW w:w="3744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水污染影响型</w:t>
            </w:r>
          </w:p>
        </w:tc>
        <w:tc>
          <w:tcPr>
            <w:tcW w:w="3053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水文要素影响型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24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</w:rPr>
            </w:pPr>
          </w:p>
        </w:tc>
        <w:tc>
          <w:tcPr>
            <w:tcW w:w="3744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一级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；二级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；三级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；三级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val="en-US" w:eastAsia="zh-CN"/>
              </w:rPr>
              <w:t>B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FE"/>
            </w:r>
          </w:p>
        </w:tc>
        <w:tc>
          <w:tcPr>
            <w:tcW w:w="3053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一级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；二级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；三级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72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现状调查</w:t>
            </w:r>
          </w:p>
        </w:tc>
        <w:tc>
          <w:tcPr>
            <w:tcW w:w="1252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区域污染源</w:t>
            </w:r>
          </w:p>
        </w:tc>
        <w:tc>
          <w:tcPr>
            <w:tcW w:w="3744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调查项目</w:t>
            </w:r>
          </w:p>
        </w:tc>
        <w:tc>
          <w:tcPr>
            <w:tcW w:w="3053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7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</w:p>
        </w:tc>
        <w:tc>
          <w:tcPr>
            <w:tcW w:w="125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</w:p>
        </w:tc>
        <w:tc>
          <w:tcPr>
            <w:tcW w:w="203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已建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；在建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；拟建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FE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；其他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</w:p>
        </w:tc>
        <w:tc>
          <w:tcPr>
            <w:tcW w:w="170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拟替代的污染源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</w:p>
        </w:tc>
        <w:tc>
          <w:tcPr>
            <w:tcW w:w="3053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排污许可证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；环评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；环保验收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；既有实测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；现场检测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；入河排放口数据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；其他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7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</w:rPr>
            </w:pPr>
          </w:p>
        </w:tc>
        <w:tc>
          <w:tcPr>
            <w:tcW w:w="1252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受影响水体水环境质量</w:t>
            </w:r>
          </w:p>
        </w:tc>
        <w:tc>
          <w:tcPr>
            <w:tcW w:w="3744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调查时期</w:t>
            </w:r>
          </w:p>
        </w:tc>
        <w:tc>
          <w:tcPr>
            <w:tcW w:w="3053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数据来源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7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</w:rPr>
            </w:pPr>
          </w:p>
        </w:tc>
        <w:tc>
          <w:tcPr>
            <w:tcW w:w="125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</w:p>
        </w:tc>
        <w:tc>
          <w:tcPr>
            <w:tcW w:w="3744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丰水期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；平水期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；枯水期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FE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；冰封期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；春季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；夏季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；秋季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；冬季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</w:p>
        </w:tc>
        <w:tc>
          <w:tcPr>
            <w:tcW w:w="3053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生态环境保护主管部门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；补充监测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；其他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7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</w:rPr>
            </w:pPr>
          </w:p>
        </w:tc>
        <w:tc>
          <w:tcPr>
            <w:tcW w:w="125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区域水资源开发利用状况</w:t>
            </w:r>
          </w:p>
        </w:tc>
        <w:tc>
          <w:tcPr>
            <w:tcW w:w="6797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未开发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；开发量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val="en-US" w:eastAsia="zh-CN"/>
              </w:rPr>
              <w:t>40%以下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FE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；开发量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val="en-US" w:eastAsia="zh-CN"/>
              </w:rPr>
              <w:t>40%以上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7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</w:rPr>
            </w:pPr>
          </w:p>
        </w:tc>
        <w:tc>
          <w:tcPr>
            <w:tcW w:w="1252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</w:rPr>
              <w:t>水文情势调查</w:t>
            </w:r>
          </w:p>
        </w:tc>
        <w:tc>
          <w:tcPr>
            <w:tcW w:w="3744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调查时期</w:t>
            </w:r>
          </w:p>
        </w:tc>
        <w:tc>
          <w:tcPr>
            <w:tcW w:w="3053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数据来源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7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</w:rPr>
            </w:pPr>
          </w:p>
        </w:tc>
        <w:tc>
          <w:tcPr>
            <w:tcW w:w="125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</w:rPr>
            </w:pPr>
          </w:p>
        </w:tc>
        <w:tc>
          <w:tcPr>
            <w:tcW w:w="3744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丰水期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；平水期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；枯水期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；冰封期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；春季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；夏季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；秋季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；冬季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</w:p>
        </w:tc>
        <w:tc>
          <w:tcPr>
            <w:tcW w:w="3053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水行政主管部门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；补充监测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；其他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7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</w:rPr>
            </w:pPr>
          </w:p>
        </w:tc>
        <w:tc>
          <w:tcPr>
            <w:tcW w:w="1252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补充监测</w:t>
            </w:r>
          </w:p>
        </w:tc>
        <w:tc>
          <w:tcPr>
            <w:tcW w:w="3744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监测时期</w:t>
            </w:r>
          </w:p>
        </w:tc>
        <w:tc>
          <w:tcPr>
            <w:tcW w:w="137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监测因子</w:t>
            </w:r>
          </w:p>
        </w:tc>
        <w:tc>
          <w:tcPr>
            <w:tcW w:w="168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监测断面或点位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7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</w:rPr>
            </w:pPr>
          </w:p>
        </w:tc>
        <w:tc>
          <w:tcPr>
            <w:tcW w:w="125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</w:rPr>
            </w:pPr>
          </w:p>
        </w:tc>
        <w:tc>
          <w:tcPr>
            <w:tcW w:w="3744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丰水期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；平水期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；枯水期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FE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；冰封期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；春季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；夏季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；秋季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；冬季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</w:p>
        </w:tc>
        <w:tc>
          <w:tcPr>
            <w:tcW w:w="137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（）</w:t>
            </w:r>
          </w:p>
        </w:tc>
        <w:tc>
          <w:tcPr>
            <w:tcW w:w="168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监测断面或点位个数（）个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72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现状评价</w:t>
            </w:r>
          </w:p>
        </w:tc>
        <w:tc>
          <w:tcPr>
            <w:tcW w:w="125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评价范围</w:t>
            </w:r>
          </w:p>
        </w:tc>
        <w:tc>
          <w:tcPr>
            <w:tcW w:w="6797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河流：长度（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val="en-US" w:eastAsia="zh-CN"/>
              </w:rPr>
              <w:t>33.7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）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val="en-US" w:eastAsia="zh-CN"/>
              </w:rPr>
              <w:t>km；湖库、河口及近岸海域；面积（）km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superscript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7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</w:rPr>
            </w:pPr>
          </w:p>
        </w:tc>
        <w:tc>
          <w:tcPr>
            <w:tcW w:w="125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评价因子</w:t>
            </w:r>
          </w:p>
        </w:tc>
        <w:tc>
          <w:tcPr>
            <w:tcW w:w="6797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（pH、CODcr、氨氮、总磷、SS、动植物油、粪大肠菌群）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7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</w:rPr>
            </w:pPr>
          </w:p>
        </w:tc>
        <w:tc>
          <w:tcPr>
            <w:tcW w:w="125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评价标准</w:t>
            </w:r>
          </w:p>
        </w:tc>
        <w:tc>
          <w:tcPr>
            <w:tcW w:w="6797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河流、湖库、河口：Ⅰ类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；Ⅱ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；Ⅲ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FE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；Ⅳ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；Ⅴ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近岸海域：第一类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；第二类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；第三类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；第四类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规划年评价标准（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val="en-US" w:eastAsia="zh-CN"/>
              </w:rPr>
              <w:t>2018年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7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</w:rPr>
            </w:pPr>
          </w:p>
        </w:tc>
        <w:tc>
          <w:tcPr>
            <w:tcW w:w="125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评价时期</w:t>
            </w:r>
          </w:p>
        </w:tc>
        <w:tc>
          <w:tcPr>
            <w:tcW w:w="6797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丰水期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；平水期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；枯水期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FE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；冰封期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春季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；夏季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；秋季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；冬季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FE"/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7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</w:rPr>
            </w:pPr>
          </w:p>
        </w:tc>
        <w:tc>
          <w:tcPr>
            <w:tcW w:w="125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评价结论</w:t>
            </w:r>
          </w:p>
        </w:tc>
        <w:tc>
          <w:tcPr>
            <w:tcW w:w="6797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水环境功能区或水功能区、近岸海域环境功能区水质达标状况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FE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：达标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FE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；不达标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水环境控制单元或断面水质达标状况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FE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：达标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FE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；不达标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水环境保护目标质量状况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：达标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；不达标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对照断面、控制断面或代表性断面的水质状况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：达标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；不达标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底泥污染评价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水资源与开发利用程度及其水文情势评价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水环境质量回顾评价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流域（区域）水资源（包括水能资源）与开发利用总体状况、生态流量管理要求与现状满足程度、建设项目占用水域空间的水流状况与河湖演变状况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72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影响预测</w:t>
            </w:r>
          </w:p>
        </w:tc>
        <w:tc>
          <w:tcPr>
            <w:tcW w:w="125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预测范围</w:t>
            </w:r>
          </w:p>
        </w:tc>
        <w:tc>
          <w:tcPr>
            <w:tcW w:w="6797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河流：长度（）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val="en-US" w:eastAsia="zh-CN"/>
              </w:rPr>
              <w:t>km；湖库、河口及近岸海域：面积（）km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superscript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7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</w:rPr>
            </w:pPr>
          </w:p>
        </w:tc>
        <w:tc>
          <w:tcPr>
            <w:tcW w:w="125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预测因子</w:t>
            </w:r>
          </w:p>
        </w:tc>
        <w:tc>
          <w:tcPr>
            <w:tcW w:w="6797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（）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7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</w:rPr>
            </w:pPr>
          </w:p>
        </w:tc>
        <w:tc>
          <w:tcPr>
            <w:tcW w:w="125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预测时期</w:t>
            </w:r>
          </w:p>
        </w:tc>
        <w:tc>
          <w:tcPr>
            <w:tcW w:w="6797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丰水期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；平水期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；枯水期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；冰封期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春季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；夏季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；秋季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；冬季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设计水文条件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7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</w:rPr>
            </w:pPr>
          </w:p>
        </w:tc>
        <w:tc>
          <w:tcPr>
            <w:tcW w:w="125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预测情景</w:t>
            </w:r>
          </w:p>
        </w:tc>
        <w:tc>
          <w:tcPr>
            <w:tcW w:w="6797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建设期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；生产运行期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；服务器满后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正常工况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；非正常工况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污染控制和减缓措施方案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区（流）域环境质量改善目标要求情景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7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</w:rPr>
            </w:pPr>
          </w:p>
        </w:tc>
        <w:tc>
          <w:tcPr>
            <w:tcW w:w="125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预测方法</w:t>
            </w:r>
          </w:p>
        </w:tc>
        <w:tc>
          <w:tcPr>
            <w:tcW w:w="6797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数值解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；解析解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；其他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导则推荐模式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：其他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72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影响评价</w:t>
            </w:r>
          </w:p>
        </w:tc>
        <w:tc>
          <w:tcPr>
            <w:tcW w:w="125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水污染控制和水环境影响减缓措施有效性评价</w:t>
            </w:r>
          </w:p>
        </w:tc>
        <w:tc>
          <w:tcPr>
            <w:tcW w:w="6797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区（流）水环境质量改善目标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；替代削减源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7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</w:p>
        </w:tc>
        <w:tc>
          <w:tcPr>
            <w:tcW w:w="125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水环境影响评价</w:t>
            </w:r>
          </w:p>
        </w:tc>
        <w:tc>
          <w:tcPr>
            <w:tcW w:w="6797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排放口混合区外满足水环境管理要求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水环境功能区或水功能区、近岸海域环境功能区水质达标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满足水环境保护目标水域水环境质量要求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水环境控制单元或断面水质达标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满足重点水污染排放总量控制指标要求，重点行业建设项目，主要污染物排放满足等量或减量替代要求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满足区（流）域水环境质量改善目标要求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水文要素影响型建设项目同时应包括水文情势变化评价、主要水文特征值影响评价、生态流量符合性评价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对于新设或调整入河（湖库、近岸海域）排放口的建设项目，应包括排放口设置的环境合理性评价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满足生态保护红线、水环境质量底线、资源利用上线和环境准入清单管理要求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7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</w:rPr>
            </w:pPr>
          </w:p>
        </w:tc>
        <w:tc>
          <w:tcPr>
            <w:tcW w:w="1252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污染源排放量核算</w:t>
            </w:r>
          </w:p>
        </w:tc>
        <w:tc>
          <w:tcPr>
            <w:tcW w:w="116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污染物名称</w:t>
            </w:r>
          </w:p>
        </w:tc>
        <w:tc>
          <w:tcPr>
            <w:tcW w:w="3371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排放量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val="en-US" w:eastAsia="zh-CN"/>
              </w:rPr>
              <w:t>/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val="en-US" w:eastAsia="zh-CN"/>
              </w:rPr>
              <w:t>t/a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）</w:t>
            </w:r>
          </w:p>
        </w:tc>
        <w:tc>
          <w:tcPr>
            <w:tcW w:w="226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排放浓度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val="en-US" w:eastAsia="zh-CN"/>
              </w:rPr>
              <w:t>/（mg/L）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7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</w:rPr>
            </w:pPr>
          </w:p>
        </w:tc>
        <w:tc>
          <w:tcPr>
            <w:tcW w:w="125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</w:p>
        </w:tc>
        <w:tc>
          <w:tcPr>
            <w:tcW w:w="116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（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u w:val="none" w:color="auto"/>
              </w:rPr>
              <w:t>COD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21"/>
                <w:szCs w:val="21"/>
                <w:u w:val="none" w:color="auto"/>
                <w:lang w:eastAsia="zh-CN"/>
              </w:rPr>
              <w:t>、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21"/>
                <w:szCs w:val="21"/>
                <w:u w:val="none" w:color="auto"/>
                <w:lang w:val="en-US" w:eastAsia="zh-CN"/>
              </w:rPr>
              <w:t>氨氮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）</w:t>
            </w:r>
          </w:p>
        </w:tc>
        <w:tc>
          <w:tcPr>
            <w:tcW w:w="3371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val="en-US" w:eastAsia="zh-CN"/>
              </w:rPr>
              <w:t>1.459、0.53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）</w:t>
            </w:r>
          </w:p>
        </w:tc>
        <w:tc>
          <w:tcPr>
            <w:tcW w:w="226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val="en-US" w:eastAsia="zh-CN"/>
              </w:rPr>
              <w:t>220、23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7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</w:rPr>
            </w:pPr>
          </w:p>
        </w:tc>
        <w:tc>
          <w:tcPr>
            <w:tcW w:w="1252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替代源排放情况</w:t>
            </w:r>
          </w:p>
        </w:tc>
        <w:tc>
          <w:tcPr>
            <w:tcW w:w="13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污染源名称</w:t>
            </w:r>
          </w:p>
        </w:tc>
        <w:tc>
          <w:tcPr>
            <w:tcW w:w="13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排污许可证编号</w:t>
            </w:r>
          </w:p>
        </w:tc>
        <w:tc>
          <w:tcPr>
            <w:tcW w:w="102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污染物名称</w:t>
            </w:r>
          </w:p>
        </w:tc>
        <w:tc>
          <w:tcPr>
            <w:tcW w:w="169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排放量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val="en-US" w:eastAsia="zh-CN"/>
              </w:rPr>
              <w:t>/（t/a）</w:t>
            </w:r>
          </w:p>
        </w:tc>
        <w:tc>
          <w:tcPr>
            <w:tcW w:w="136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排放浓度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val="en-US" w:eastAsia="zh-CN"/>
              </w:rPr>
              <w:t>/（mg/L）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7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</w:rPr>
            </w:pPr>
          </w:p>
        </w:tc>
        <w:tc>
          <w:tcPr>
            <w:tcW w:w="125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</w:p>
        </w:tc>
        <w:tc>
          <w:tcPr>
            <w:tcW w:w="13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（）</w:t>
            </w:r>
          </w:p>
        </w:tc>
        <w:tc>
          <w:tcPr>
            <w:tcW w:w="13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（）</w:t>
            </w:r>
          </w:p>
        </w:tc>
        <w:tc>
          <w:tcPr>
            <w:tcW w:w="102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（）</w:t>
            </w:r>
          </w:p>
        </w:tc>
        <w:tc>
          <w:tcPr>
            <w:tcW w:w="169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（）</w:t>
            </w:r>
          </w:p>
        </w:tc>
        <w:tc>
          <w:tcPr>
            <w:tcW w:w="136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（）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7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</w:rPr>
            </w:pPr>
          </w:p>
        </w:tc>
        <w:tc>
          <w:tcPr>
            <w:tcW w:w="125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生态流量确定</w:t>
            </w:r>
          </w:p>
        </w:tc>
        <w:tc>
          <w:tcPr>
            <w:tcW w:w="6797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生态流量：一般水期（）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val="en-US" w:eastAsia="zh-CN"/>
              </w:rPr>
              <w:t>m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superscript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val="en-US" w:eastAsia="zh-CN"/>
              </w:rPr>
              <w:t>/s；鱼类繁殖期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（）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val="en-US" w:eastAsia="zh-CN"/>
              </w:rPr>
              <w:t>m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superscript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val="en-US" w:eastAsia="zh-CN"/>
              </w:rPr>
              <w:t>/s；其他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（）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val="en-US" w:eastAsia="zh-CN"/>
              </w:rPr>
              <w:t>m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superscript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val="en-US" w:eastAsia="zh-CN"/>
              </w:rPr>
              <w:t>/s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val="en-US" w:eastAsia="zh-CN"/>
              </w:rPr>
              <w:t>生态水位：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一般水期（）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val="en-US" w:eastAsia="zh-CN"/>
              </w:rPr>
              <w:t>m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superscript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val="en-US" w:eastAsia="zh-CN"/>
              </w:rPr>
              <w:t>/s；鱼类繁殖期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（）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val="en-US" w:eastAsia="zh-CN"/>
              </w:rPr>
              <w:t>m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superscript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val="en-US" w:eastAsia="zh-CN"/>
              </w:rPr>
              <w:t>/s；其他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（）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val="en-US" w:eastAsia="zh-CN"/>
              </w:rPr>
              <w:t>m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superscript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val="en-US" w:eastAsia="zh-CN"/>
              </w:rPr>
              <w:t>/s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72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防治措施</w:t>
            </w:r>
          </w:p>
        </w:tc>
        <w:tc>
          <w:tcPr>
            <w:tcW w:w="125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环保措施</w:t>
            </w:r>
          </w:p>
        </w:tc>
        <w:tc>
          <w:tcPr>
            <w:tcW w:w="6797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val="en-US" w:eastAsia="zh-CN"/>
              </w:rPr>
              <w:t>污水处理设施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FE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；水文减缓设施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；生态流量保障设施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；区域削减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；依托其他工程措施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；其他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7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</w:rPr>
            </w:pPr>
          </w:p>
        </w:tc>
        <w:tc>
          <w:tcPr>
            <w:tcW w:w="1252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监测计划</w:t>
            </w:r>
          </w:p>
        </w:tc>
        <w:tc>
          <w:tcPr>
            <w:tcW w:w="116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val="en-US" w:eastAsia="zh-CN"/>
              </w:rPr>
            </w:pPr>
          </w:p>
        </w:tc>
        <w:tc>
          <w:tcPr>
            <w:tcW w:w="2584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val="en-US" w:eastAsia="zh-CN"/>
              </w:rPr>
              <w:t>环境质量</w:t>
            </w:r>
          </w:p>
        </w:tc>
        <w:tc>
          <w:tcPr>
            <w:tcW w:w="3053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val="en-US" w:eastAsia="zh-CN"/>
              </w:rPr>
              <w:t>污染源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7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</w:p>
        </w:tc>
        <w:tc>
          <w:tcPr>
            <w:tcW w:w="125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</w:p>
        </w:tc>
        <w:tc>
          <w:tcPr>
            <w:tcW w:w="116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val="en-US" w:eastAsia="zh-CN"/>
              </w:rPr>
              <w:t>检测方式</w:t>
            </w:r>
          </w:p>
        </w:tc>
        <w:tc>
          <w:tcPr>
            <w:tcW w:w="2584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val="en-US" w:eastAsia="zh-CN"/>
              </w:rPr>
              <w:t>手动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；自动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；无监测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</w:p>
        </w:tc>
        <w:tc>
          <w:tcPr>
            <w:tcW w:w="3053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val="en-US" w:eastAsia="zh-CN"/>
              </w:rPr>
              <w:t>手动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FE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；自动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；无监测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7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</w:rPr>
            </w:pPr>
          </w:p>
        </w:tc>
        <w:tc>
          <w:tcPr>
            <w:tcW w:w="125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</w:p>
        </w:tc>
        <w:tc>
          <w:tcPr>
            <w:tcW w:w="116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val="en-US" w:eastAsia="zh-CN"/>
              </w:rPr>
              <w:t>监测因子</w:t>
            </w:r>
          </w:p>
        </w:tc>
        <w:tc>
          <w:tcPr>
            <w:tcW w:w="2584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val="en-US" w:eastAsia="zh-CN"/>
              </w:rPr>
              <w:t>（）</w:t>
            </w:r>
          </w:p>
        </w:tc>
        <w:tc>
          <w:tcPr>
            <w:tcW w:w="3053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val="en-US" w:eastAsia="zh-CN"/>
              </w:rPr>
              <w:t>（pH值、化学需氧量、生化需氧量、氨氮、SS和粪大肠杆菌）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7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</w:rPr>
            </w:pPr>
          </w:p>
        </w:tc>
        <w:tc>
          <w:tcPr>
            <w:tcW w:w="125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污染物排放清单</w:t>
            </w:r>
          </w:p>
        </w:tc>
        <w:tc>
          <w:tcPr>
            <w:tcW w:w="6797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FE"/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2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评价结论</w:t>
            </w:r>
          </w:p>
        </w:tc>
        <w:tc>
          <w:tcPr>
            <w:tcW w:w="6797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可以接受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FE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；不可以接受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521" w:type="dxa"/>
            <w:gridSpan w:val="11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注：“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”为勾选项，可√；“（）”为内容填写项；“备注”为其他补充内容</w:t>
            </w:r>
          </w:p>
        </w:tc>
      </w:tr>
    </w:tbl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0F52FD"/>
    <w:rsid w:val="01297B41"/>
    <w:rsid w:val="016C11CD"/>
    <w:rsid w:val="04D7508E"/>
    <w:rsid w:val="04FE373D"/>
    <w:rsid w:val="0850298F"/>
    <w:rsid w:val="08514795"/>
    <w:rsid w:val="09943FC6"/>
    <w:rsid w:val="0A2D6C05"/>
    <w:rsid w:val="0A5B3130"/>
    <w:rsid w:val="0D3A29A0"/>
    <w:rsid w:val="0E580B37"/>
    <w:rsid w:val="0F9E04E4"/>
    <w:rsid w:val="1242061E"/>
    <w:rsid w:val="12B06D9D"/>
    <w:rsid w:val="14E7488B"/>
    <w:rsid w:val="17596842"/>
    <w:rsid w:val="179D70B4"/>
    <w:rsid w:val="17FB7205"/>
    <w:rsid w:val="1AC16786"/>
    <w:rsid w:val="1F1347C5"/>
    <w:rsid w:val="203D32C3"/>
    <w:rsid w:val="23300314"/>
    <w:rsid w:val="237A1EF0"/>
    <w:rsid w:val="263B5305"/>
    <w:rsid w:val="267C6DC0"/>
    <w:rsid w:val="27B32C26"/>
    <w:rsid w:val="29EB504C"/>
    <w:rsid w:val="2AD94C7D"/>
    <w:rsid w:val="2B2D5574"/>
    <w:rsid w:val="2B975571"/>
    <w:rsid w:val="2C0538CF"/>
    <w:rsid w:val="2C3648F8"/>
    <w:rsid w:val="2CA15773"/>
    <w:rsid w:val="2E3337FB"/>
    <w:rsid w:val="2E9C5488"/>
    <w:rsid w:val="3206135C"/>
    <w:rsid w:val="33242B1F"/>
    <w:rsid w:val="33BF04B7"/>
    <w:rsid w:val="3612567C"/>
    <w:rsid w:val="36675F01"/>
    <w:rsid w:val="366C1397"/>
    <w:rsid w:val="38B228CA"/>
    <w:rsid w:val="39897A53"/>
    <w:rsid w:val="39E7067B"/>
    <w:rsid w:val="3C0A4BA9"/>
    <w:rsid w:val="3C274485"/>
    <w:rsid w:val="3D8D5722"/>
    <w:rsid w:val="401E67A2"/>
    <w:rsid w:val="44046088"/>
    <w:rsid w:val="45895414"/>
    <w:rsid w:val="45FE27CA"/>
    <w:rsid w:val="46E400D1"/>
    <w:rsid w:val="477350D0"/>
    <w:rsid w:val="48AD3D03"/>
    <w:rsid w:val="498537E1"/>
    <w:rsid w:val="49ED0D14"/>
    <w:rsid w:val="4A8460E3"/>
    <w:rsid w:val="4AB67FA3"/>
    <w:rsid w:val="4AD26269"/>
    <w:rsid w:val="4CC32183"/>
    <w:rsid w:val="4DDC172C"/>
    <w:rsid w:val="4E744E31"/>
    <w:rsid w:val="5056183C"/>
    <w:rsid w:val="51013BED"/>
    <w:rsid w:val="52BB4302"/>
    <w:rsid w:val="53442301"/>
    <w:rsid w:val="53A23F05"/>
    <w:rsid w:val="53E86BC0"/>
    <w:rsid w:val="55F85069"/>
    <w:rsid w:val="599A53C8"/>
    <w:rsid w:val="59CC0092"/>
    <w:rsid w:val="5C033096"/>
    <w:rsid w:val="5C6854DF"/>
    <w:rsid w:val="5E713CC9"/>
    <w:rsid w:val="614C5EEB"/>
    <w:rsid w:val="63395D52"/>
    <w:rsid w:val="66AE1001"/>
    <w:rsid w:val="68A2322A"/>
    <w:rsid w:val="690A4DC2"/>
    <w:rsid w:val="698E0C46"/>
    <w:rsid w:val="6B170FFA"/>
    <w:rsid w:val="6C023D5D"/>
    <w:rsid w:val="6D362B88"/>
    <w:rsid w:val="6EA94BAB"/>
    <w:rsid w:val="6F05673E"/>
    <w:rsid w:val="70831FB9"/>
    <w:rsid w:val="78BF444D"/>
    <w:rsid w:val="7C0F52F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lang w:val="en-US" w:eastAsia="zh-CN" w:bidi="ar-SA"/>
    </w:rPr>
  </w:style>
  <w:style w:type="paragraph" w:styleId="4">
    <w:name w:val="heading 3"/>
    <w:basedOn w:val="1"/>
    <w:next w:val="1"/>
    <w:qFormat/>
    <w:uiPriority w:val="0"/>
    <w:pPr>
      <w:keepNext/>
      <w:keepLines/>
      <w:adjustRightInd w:val="0"/>
      <w:spacing w:before="260" w:beforeLines="0" w:after="260" w:afterLines="0"/>
      <w:textAlignment w:val="baseline"/>
      <w:outlineLvl w:val="2"/>
    </w:pPr>
    <w:rPr>
      <w:b/>
      <w:kern w:val="0"/>
      <w:sz w:val="28"/>
      <w:shd w:val="clear" w:color="auto" w:fill="FFFFFF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basedOn w:val="3"/>
    <w:qFormat/>
    <w:uiPriority w:val="0"/>
    <w:pPr>
      <w:widowControl w:val="0"/>
      <w:autoSpaceDE w:val="0"/>
      <w:autoSpaceDN w:val="0"/>
      <w:adjustRightInd w:val="0"/>
    </w:pPr>
    <w:rPr>
      <w:rFonts w:ascii="宋体" w:hAnsi="Calibri" w:cs="宋体"/>
      <w:color w:val="000000"/>
      <w:sz w:val="24"/>
      <w:szCs w:val="24"/>
      <w:lang w:val="en-US" w:eastAsia="zh-CN" w:bidi="ar-SA"/>
    </w:rPr>
  </w:style>
  <w:style w:type="paragraph" w:customStyle="1" w:styleId="3">
    <w:name w:val="纯文本1"/>
    <w:basedOn w:val="1"/>
    <w:qFormat/>
    <w:uiPriority w:val="0"/>
    <w:pPr>
      <w:adjustRightInd w:val="0"/>
    </w:pPr>
    <w:rPr>
      <w:rFonts w:ascii="宋体" w:hAnsi="Courier New"/>
    </w:rPr>
  </w:style>
  <w:style w:type="table" w:styleId="6">
    <w:name w:val="Table Grid"/>
    <w:basedOn w:val="5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A正文1"/>
    <w:basedOn w:val="1"/>
    <w:qFormat/>
    <w:uiPriority w:val="0"/>
    <w:pPr>
      <w:ind w:firstLine="48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2019-10-24T13:47:00Z</dcterms:created>
  <dc:creator>lenovo</dc:creator>
  <cp:lastModifiedBy>Administrator</cp:lastModifiedBy>
  <dcterms:modified xsi:type="dcterms:W3CDTF">2020-09-13T12:33:22Z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